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  <w:t>Objet : Investissements d’UBS dans Elbit Systems – Demande d’éclaircissements urgents</w:t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/>
      </w:pPr>
      <w:r>
        <w:rPr/>
        <w:t>Madame, Monsieur,</w:t>
      </w:r>
    </w:p>
    <w:p>
      <w:pPr>
        <w:pStyle w:val="BodyText"/>
        <w:rPr/>
      </w:pPr>
      <w:r>
        <w:rPr/>
        <w:t>Client·e de votre établissement, j’ai découvert avec une vive inquiétude que UBS détient des investissements dans Elbit Systems Limited, entreprise israélienne d’armement directement impliquée dans le</w:t>
      </w:r>
      <w:r>
        <w:rPr/>
        <w:t xml:space="preserve"> génocide</w:t>
      </w:r>
      <w:r>
        <w:rPr/>
        <w:t xml:space="preserve"> mené</w:t>
      </w:r>
      <w:r>
        <w:rPr/>
        <w:t xml:space="preserve"> </w:t>
      </w:r>
      <w:r>
        <w:rPr/>
        <w:t>contre la population palestinienne depuis octobre 2023.</w:t>
      </w:r>
    </w:p>
    <w:p>
      <w:pPr>
        <w:pStyle w:val="BodyText"/>
        <w:rPr/>
      </w:pPr>
      <w:r>
        <w:rPr/>
        <w:t xml:space="preserve">Elbit Systems fournit 85 % des drones utilisés par l’armée israélienne. Ses systèmes ont été massivement utilisés lors de l’offensive contre la bande de Gaza depuis octobre 2023, causant la mort de plus de </w:t>
      </w:r>
      <w:r>
        <w:rPr/>
        <w:t>60</w:t>
      </w:r>
      <w:r>
        <w:rPr/>
        <w:t xml:space="preserve"> 000 Palestinien·</w:t>
      </w:r>
      <w:r>
        <w:rPr/>
        <w:t>ne</w:t>
      </w:r>
      <w:r>
        <w:rPr/>
        <w:t>s dont une majorité de civils, selon les estimations des agences humanitaires internationales. Les composants d’Elbit se retrouvent dans les avions F-16 et F-35 employés dans les bombardements intenses et répétés de zones densément peuplées. L’entreprise est également liée à la production de munitions à sous-munitions, interdites par le droit international.</w:t>
      </w:r>
    </w:p>
    <w:p>
      <w:pPr>
        <w:pStyle w:val="BodyText"/>
        <w:rPr/>
      </w:pPr>
      <w:r>
        <w:rPr/>
        <w:t>La décision du 26 janvier 2024</w:t>
      </w:r>
      <w:r>
        <w:rPr/>
        <w:t xml:space="preserve"> </w:t>
      </w:r>
      <w:r>
        <w:rPr/>
        <w:t xml:space="preserve">de </w:t>
      </w:r>
      <w:r>
        <w:rPr/>
        <w:t>la Cour internationale de justice</w:t>
      </w:r>
      <w:r>
        <w:rPr/>
        <w:t xml:space="preserve"> </w:t>
      </w:r>
      <w:r>
        <w:rPr/>
        <w:t>confirme l’existence d’un risque plausible de génocide.</w:t>
      </w:r>
      <w:r>
        <w:rPr/>
        <w:t xml:space="preserve"> </w:t>
      </w:r>
      <w:r>
        <w:rPr/>
        <w:t xml:space="preserve">Le 19 juillet 2024, </w:t>
      </w:r>
      <w:r>
        <w:rPr/>
        <w:t xml:space="preserve">cette même instance </w:t>
      </w:r>
      <w:r>
        <w:rPr/>
        <w:t xml:space="preserve">a </w:t>
      </w:r>
      <w:r>
        <w:rPr/>
        <w:t>réaffirmé l'illégalité de l'occupation par Israël de Gaza ainsi que de Jérusalem-Est et de la Cisjordanie,</w:t>
      </w:r>
      <w:r>
        <w:rPr/>
        <w:t xml:space="preserve"> et a appelé tous les États à cesser </w:t>
      </w:r>
      <w:r>
        <w:rPr/>
        <w:t xml:space="preserve">de fournir à ce dernier </w:t>
      </w:r>
      <w:r>
        <w:rPr/>
        <w:t>toute forme d’assistance militaire, directe ou indirecte</w:t>
      </w:r>
      <w:r>
        <w:rPr/>
        <w:t>.</w:t>
      </w:r>
      <w:r>
        <w:rPr/>
        <w:t xml:space="preserve">  </w:t>
      </w:r>
      <w:r>
        <w:rPr/>
        <w:t>Le droit international</w:t>
      </w:r>
      <w:r>
        <w:rPr/>
        <w:t xml:space="preserve"> engage également les acteurs privés, qui ont l’obligation de s’assurer que leurs activités ne contribuent pas à de telles violations du droit international humanitaire</w:t>
      </w:r>
    </w:p>
    <w:p>
      <w:pPr>
        <w:pStyle w:val="BodyText"/>
        <w:rPr/>
      </w:pPr>
      <w:r>
        <w:rPr/>
        <w:t>Dans ce contexte, je vous prie de bien vouloir me fournir des informations précises sur :</w:t>
      </w:r>
    </w:p>
    <w:p>
      <w:pPr>
        <w:pStyle w:val="BodyText"/>
        <w:rPr/>
      </w:pPr>
      <w:r>
        <w:rPr/>
        <w:t>1. La nature des liens financiers entre UBS et Elbit Systems Limited (investissements, services fournis, parts détenues, etc.) ;</w:t>
        <w:br/>
        <w:t>2. La politique d’UBS concernant les investissements dans le secteur de l’armement, en particulier lorsqu’il existe des risques avérés d’implication dans des crimes de guerre ou crimes contre l’humanité.</w:t>
        <w:br/>
      </w:r>
      <w:r>
        <w:rPr/>
        <w:t xml:space="preserve">3. </w:t>
      </w:r>
      <w:r>
        <w:rPr/>
        <w:t xml:space="preserve">Les mesures concrètes mises en place par UBS pour garantir qu’aucun fonds géré ou investi par ses soins ne puisse, directement ou indirectement, contribuer à des violations du droit international humanitaire, notamment celles impliquant des armes produites par Elbit Systems et susceptibles d’être utilisées dans </w:t>
      </w:r>
      <w:r>
        <w:rPr/>
        <w:t>l</w:t>
      </w:r>
      <w:r>
        <w:rPr/>
        <w:t>es crimes de guerre</w:t>
      </w:r>
      <w:r>
        <w:rPr/>
        <w:t>.</w:t>
      </w:r>
    </w:p>
    <w:p>
      <w:pPr>
        <w:pStyle w:val="BodyText"/>
        <w:rPr/>
      </w:pPr>
      <w:r>
        <w:rPr/>
        <w:t>En tant que client·e, je suis profondément choqué·e à l’idée que m</w:t>
      </w:r>
      <w:r>
        <w:rPr/>
        <w:t>es fonds</w:t>
      </w:r>
      <w:r>
        <w:rPr/>
        <w:t xml:space="preserve"> puisse</w:t>
      </w:r>
      <w:r>
        <w:rPr/>
        <w:t>nt</w:t>
      </w:r>
      <w:r>
        <w:rPr/>
        <w:t xml:space="preserve"> contribuer à la perpétuation de violations aussi graves. Sans réponse claire et sans engagement concret de désinvestissement, je me verrai contraint·e de reconsidérer ma relation avec UBS.</w:t>
      </w:r>
    </w:p>
    <w:p>
      <w:pPr>
        <w:pStyle w:val="BodyText"/>
        <w:spacing w:before="0" w:after="120"/>
        <w:rPr/>
      </w:pPr>
      <w:r>
        <w:rPr/>
        <w:t>Dans l’attente d’une réponse responsable, je vous adresse, Madame, Monsieur, mes salutations distinguées.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4397</TotalTime>
  <Application>LibreOffice/25.2.3.2$MacOSX_X86_64 LibreOffice_project/bbb074479178df812d175f709636b368952c2ce3</Application>
  <AppVersion>15.0000</AppVersion>
  <Pages>1</Pages>
  <Words>392</Words>
  <Characters>2291</Characters>
  <CharactersWithSpaces>2676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fr-FR</dc:language>
  <cp:lastModifiedBy>Patou</cp:lastModifiedBy>
  <dcterms:modified xsi:type="dcterms:W3CDTF">2025-07-10T17:57:10Z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